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C95556" w14:textId="77777777" w:rsidR="00A41ACD" w:rsidRPr="00E4501D" w:rsidRDefault="00E4501D" w:rsidP="00E4501D">
      <w:pPr>
        <w:jc w:val="center"/>
        <w:rPr>
          <w:b/>
          <w:color w:val="800000"/>
          <w:sz w:val="36"/>
          <w:szCs w:val="36"/>
        </w:rPr>
      </w:pPr>
      <w:r w:rsidRPr="00E4501D">
        <w:rPr>
          <w:b/>
          <w:color w:val="800000"/>
          <w:sz w:val="36"/>
          <w:szCs w:val="36"/>
        </w:rPr>
        <w:t>MODULE ECOLE – OUTILS ET METHODES</w:t>
      </w:r>
    </w:p>
    <w:p w14:paraId="0DDBA9D9" w14:textId="77777777" w:rsidR="00E4501D" w:rsidRDefault="00E4501D">
      <w:pPr>
        <w:rPr>
          <w:b/>
          <w:color w:val="F79646" w:themeColor="accent6"/>
          <w:sz w:val="32"/>
        </w:rPr>
      </w:pPr>
    </w:p>
    <w:p w14:paraId="3F0FA8FF" w14:textId="77777777" w:rsidR="00E4501D" w:rsidRDefault="00E4501D">
      <w:pPr>
        <w:rPr>
          <w:b/>
          <w:color w:val="F79646" w:themeColor="accent6"/>
          <w:sz w:val="32"/>
        </w:rPr>
      </w:pPr>
    </w:p>
    <w:p w14:paraId="56D31D32" w14:textId="77777777" w:rsidR="00A41ACD" w:rsidRDefault="00A41ACD">
      <w:pPr>
        <w:rPr>
          <w:b/>
          <w:color w:val="F79646" w:themeColor="accent6"/>
          <w:sz w:val="32"/>
        </w:rPr>
      </w:pPr>
      <w:r>
        <w:rPr>
          <w:b/>
          <w:color w:val="F79646" w:themeColor="accent6"/>
          <w:sz w:val="32"/>
        </w:rPr>
        <w:t>PÔLE INNOVATION</w:t>
      </w:r>
    </w:p>
    <w:p w14:paraId="7C13E9D7" w14:textId="77777777" w:rsidR="00A41ACD" w:rsidRDefault="00A41ACD">
      <w:pPr>
        <w:rPr>
          <w:b/>
          <w:color w:val="F79646" w:themeColor="accent6"/>
          <w:sz w:val="32"/>
        </w:rPr>
      </w:pPr>
    </w:p>
    <w:p w14:paraId="22FEE5C7" w14:textId="77777777" w:rsidR="00A41ACD" w:rsidRDefault="00A41ACD">
      <w:pPr>
        <w:rPr>
          <w:b/>
          <w:sz w:val="32"/>
        </w:rPr>
      </w:pPr>
      <w:r>
        <w:rPr>
          <w:b/>
          <w:sz w:val="32"/>
        </w:rPr>
        <w:t xml:space="preserve">Créativité : </w:t>
      </w:r>
      <w:r w:rsidR="00E4501D" w:rsidRPr="00E4501D">
        <w:rPr>
          <w:sz w:val="32"/>
        </w:rPr>
        <w:t>Brainstorming</w:t>
      </w:r>
      <w:r w:rsidR="00E4501D">
        <w:rPr>
          <w:sz w:val="32"/>
        </w:rPr>
        <w:t>…</w:t>
      </w:r>
    </w:p>
    <w:p w14:paraId="27C1C2C2" w14:textId="77777777" w:rsidR="00F8317D" w:rsidRDefault="00F8317D">
      <w:pPr>
        <w:rPr>
          <w:b/>
          <w:sz w:val="32"/>
        </w:rPr>
      </w:pPr>
    </w:p>
    <w:p w14:paraId="4F59608C" w14:textId="77777777" w:rsidR="00A41ACD" w:rsidRDefault="00A41ACD">
      <w:pPr>
        <w:rPr>
          <w:b/>
          <w:sz w:val="32"/>
        </w:rPr>
      </w:pPr>
      <w:r>
        <w:rPr>
          <w:b/>
          <w:sz w:val="32"/>
        </w:rPr>
        <w:t xml:space="preserve">Innovation : </w:t>
      </w:r>
    </w:p>
    <w:p w14:paraId="32D9AD0F" w14:textId="77777777" w:rsidR="00A41ACD" w:rsidRDefault="00A41ACD">
      <w:pPr>
        <w:rPr>
          <w:sz w:val="32"/>
        </w:rPr>
      </w:pPr>
      <w:r>
        <w:rPr>
          <w:sz w:val="32"/>
        </w:rPr>
        <w:t>QFD, Outil de pilotage de l’innovation, analyse des besoins , Analyse de la valeur</w:t>
      </w:r>
    </w:p>
    <w:p w14:paraId="63D0D5E3" w14:textId="77777777" w:rsidR="00A41ACD" w:rsidRDefault="00F8317D">
      <w:pPr>
        <w:rPr>
          <w:sz w:val="32"/>
        </w:rPr>
      </w:pPr>
      <w:r>
        <w:rPr>
          <w:sz w:val="32"/>
        </w:rPr>
        <w:t>Veille techno et concurrentiel, méthodologie TRIZ, propriété intellectuel et industriel.</w:t>
      </w:r>
    </w:p>
    <w:p w14:paraId="5DAA6391" w14:textId="77777777" w:rsidR="00F8317D" w:rsidRDefault="00F8317D">
      <w:pPr>
        <w:rPr>
          <w:sz w:val="32"/>
        </w:rPr>
      </w:pPr>
    </w:p>
    <w:p w14:paraId="6CBAA669" w14:textId="77777777" w:rsidR="00F8317D" w:rsidRPr="00F8317D" w:rsidRDefault="00F8317D" w:rsidP="00F8317D">
      <w:pPr>
        <w:widowControl w:val="0"/>
        <w:autoSpaceDE w:val="0"/>
        <w:autoSpaceDN w:val="0"/>
        <w:adjustRightInd w:val="0"/>
        <w:rPr>
          <w:rFonts w:cs="Times New Roman"/>
          <w:sz w:val="32"/>
          <w:szCs w:val="32"/>
        </w:rPr>
      </w:pPr>
      <w:proofErr w:type="spellStart"/>
      <w:r>
        <w:rPr>
          <w:sz w:val="32"/>
        </w:rPr>
        <w:t>Knowledge</w:t>
      </w:r>
      <w:proofErr w:type="spellEnd"/>
      <w:r>
        <w:rPr>
          <w:sz w:val="32"/>
        </w:rPr>
        <w:t xml:space="preserve"> management, management des ressources technologique </w:t>
      </w:r>
      <w:r w:rsidRPr="00F8317D">
        <w:rPr>
          <w:sz w:val="32"/>
          <w:szCs w:val="32"/>
        </w:rPr>
        <w:t xml:space="preserve">: </w:t>
      </w:r>
      <w:r w:rsidRPr="00F8317D">
        <w:rPr>
          <w:rFonts w:cs="Times New Roman"/>
          <w:sz w:val="32"/>
          <w:szCs w:val="32"/>
        </w:rPr>
        <w:t>grilles d’audit technologique, séquence</w:t>
      </w:r>
    </w:p>
    <w:p w14:paraId="4F8F0A32" w14:textId="77777777" w:rsidR="00F8317D" w:rsidRPr="00F8317D" w:rsidRDefault="00F8317D" w:rsidP="00F8317D">
      <w:pPr>
        <w:widowControl w:val="0"/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8317D">
        <w:rPr>
          <w:rFonts w:cs="Times New Roman"/>
          <w:sz w:val="32"/>
          <w:szCs w:val="32"/>
        </w:rPr>
        <w:t>stratégie technologique/plan d’action/stratégie opératoire, grilles d’analyse</w:t>
      </w:r>
    </w:p>
    <w:p w14:paraId="3D870A57" w14:textId="77777777" w:rsidR="00F8317D" w:rsidRPr="00F8317D" w:rsidRDefault="00F8317D" w:rsidP="00F8317D">
      <w:pPr>
        <w:widowControl w:val="0"/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8317D">
        <w:rPr>
          <w:rFonts w:cs="Times New Roman"/>
          <w:sz w:val="32"/>
          <w:szCs w:val="32"/>
        </w:rPr>
        <w:t xml:space="preserve">des données de la veille technologique, </w:t>
      </w:r>
      <w:proofErr w:type="spellStart"/>
      <w:r w:rsidRPr="00F8317D">
        <w:rPr>
          <w:rFonts w:cs="Times New Roman"/>
          <w:sz w:val="32"/>
          <w:szCs w:val="32"/>
        </w:rPr>
        <w:t>MicMac</w:t>
      </w:r>
      <w:proofErr w:type="spellEnd"/>
      <w:r w:rsidRPr="00F8317D">
        <w:rPr>
          <w:rFonts w:cs="Times New Roman"/>
          <w:sz w:val="32"/>
          <w:szCs w:val="32"/>
        </w:rPr>
        <w:t>, Abaque coloré, Smic,</w:t>
      </w:r>
    </w:p>
    <w:p w14:paraId="00A46DD9" w14:textId="77777777" w:rsidR="00F8317D" w:rsidRPr="00F8317D" w:rsidRDefault="00F8317D" w:rsidP="00F8317D">
      <w:pPr>
        <w:rPr>
          <w:sz w:val="32"/>
          <w:szCs w:val="32"/>
        </w:rPr>
      </w:pPr>
      <w:proofErr w:type="spellStart"/>
      <w:r w:rsidRPr="00F8317D">
        <w:rPr>
          <w:rFonts w:cs="Times New Roman"/>
          <w:sz w:val="32"/>
          <w:szCs w:val="32"/>
        </w:rPr>
        <w:t>Roadmapping</w:t>
      </w:r>
      <w:proofErr w:type="spellEnd"/>
    </w:p>
    <w:p w14:paraId="3F16C0D3" w14:textId="77777777" w:rsidR="00F8317D" w:rsidRDefault="00F8317D">
      <w:pPr>
        <w:rPr>
          <w:sz w:val="32"/>
        </w:rPr>
      </w:pPr>
    </w:p>
    <w:p w14:paraId="66F031D2" w14:textId="77777777" w:rsidR="00F8317D" w:rsidRPr="00A41ACD" w:rsidRDefault="00F8317D" w:rsidP="00F8317D">
      <w:pPr>
        <w:rPr>
          <w:b/>
          <w:sz w:val="32"/>
        </w:rPr>
      </w:pPr>
      <w:r w:rsidRPr="00A41ACD">
        <w:rPr>
          <w:b/>
          <w:sz w:val="32"/>
        </w:rPr>
        <w:t>Marketing</w:t>
      </w:r>
      <w:r>
        <w:rPr>
          <w:b/>
          <w:sz w:val="32"/>
        </w:rPr>
        <w:t xml:space="preserve"> : </w:t>
      </w:r>
      <w:r w:rsidRPr="00F8317D">
        <w:rPr>
          <w:sz w:val="32"/>
        </w:rPr>
        <w:t>Scénario de croissance, signaux faibles, Analyse de l’env. externe, du marché, interne à l’entreprise, les variables du mix-marketing</w:t>
      </w:r>
    </w:p>
    <w:p w14:paraId="27B4426C" w14:textId="77777777" w:rsidR="00F8317D" w:rsidRDefault="00F8317D">
      <w:pPr>
        <w:rPr>
          <w:sz w:val="32"/>
        </w:rPr>
      </w:pPr>
    </w:p>
    <w:p w14:paraId="4964E9BF" w14:textId="77777777" w:rsidR="00F8317D" w:rsidRDefault="00F8317D">
      <w:pPr>
        <w:rPr>
          <w:b/>
          <w:sz w:val="32"/>
        </w:rPr>
      </w:pPr>
      <w:r w:rsidRPr="00F8317D">
        <w:rPr>
          <w:b/>
          <w:sz w:val="32"/>
        </w:rPr>
        <w:t>Analyse stratégique des acteurs</w:t>
      </w:r>
    </w:p>
    <w:p w14:paraId="3F682D49" w14:textId="77777777" w:rsidR="00F8317D" w:rsidRDefault="00F8317D">
      <w:pPr>
        <w:rPr>
          <w:b/>
          <w:sz w:val="32"/>
        </w:rPr>
      </w:pPr>
    </w:p>
    <w:p w14:paraId="1A9E2EC0" w14:textId="77777777" w:rsidR="00F8317D" w:rsidRPr="00F8317D" w:rsidRDefault="00F8317D">
      <w:pPr>
        <w:rPr>
          <w:b/>
          <w:sz w:val="32"/>
        </w:rPr>
      </w:pPr>
      <w:r>
        <w:rPr>
          <w:b/>
          <w:sz w:val="32"/>
        </w:rPr>
        <w:t>Business plan</w:t>
      </w:r>
    </w:p>
    <w:p w14:paraId="41743E70" w14:textId="77777777" w:rsidR="00A41ACD" w:rsidRDefault="00A41ACD">
      <w:pPr>
        <w:rPr>
          <w:b/>
          <w:sz w:val="28"/>
        </w:rPr>
      </w:pPr>
    </w:p>
    <w:p w14:paraId="238C1B7E" w14:textId="77777777" w:rsidR="00F8317D" w:rsidRDefault="00F8317D" w:rsidP="00F8317D">
      <w:pPr>
        <w:rPr>
          <w:b/>
          <w:color w:val="F79646" w:themeColor="accent6"/>
          <w:sz w:val="32"/>
        </w:rPr>
      </w:pPr>
      <w:r>
        <w:rPr>
          <w:b/>
          <w:color w:val="F79646" w:themeColor="accent6"/>
          <w:sz w:val="32"/>
        </w:rPr>
        <w:t xml:space="preserve">PÔLE GESTION ENTREPREUNARIALE : </w:t>
      </w:r>
    </w:p>
    <w:p w14:paraId="51076B37" w14:textId="77777777" w:rsidR="00F8317D" w:rsidRDefault="00F8317D" w:rsidP="00F8317D">
      <w:pPr>
        <w:rPr>
          <w:b/>
          <w:color w:val="F79646" w:themeColor="accent6"/>
          <w:sz w:val="32"/>
        </w:rPr>
      </w:pPr>
    </w:p>
    <w:p w14:paraId="24A910E6" w14:textId="77777777" w:rsidR="00F8317D" w:rsidRDefault="00F8317D" w:rsidP="00F8317D">
      <w:pPr>
        <w:rPr>
          <w:b/>
          <w:sz w:val="32"/>
        </w:rPr>
      </w:pPr>
      <w:r>
        <w:rPr>
          <w:b/>
          <w:sz w:val="32"/>
        </w:rPr>
        <w:t xml:space="preserve">Technique financière : </w:t>
      </w:r>
      <w:r w:rsidRPr="00F8317D">
        <w:rPr>
          <w:sz w:val="32"/>
        </w:rPr>
        <w:t>Compte de résultat, compte annuel obligatoire, bilan</w:t>
      </w:r>
    </w:p>
    <w:p w14:paraId="04F9FAF6" w14:textId="77777777" w:rsidR="00F8317D" w:rsidRDefault="00F8317D" w:rsidP="00F8317D">
      <w:pPr>
        <w:rPr>
          <w:b/>
          <w:sz w:val="32"/>
        </w:rPr>
      </w:pPr>
    </w:p>
    <w:p w14:paraId="051D53B6" w14:textId="77777777" w:rsidR="00F8317D" w:rsidRDefault="00F8317D" w:rsidP="00F8317D">
      <w:pPr>
        <w:rPr>
          <w:sz w:val="32"/>
        </w:rPr>
      </w:pPr>
      <w:r>
        <w:rPr>
          <w:b/>
          <w:sz w:val="32"/>
        </w:rPr>
        <w:t xml:space="preserve">Analyse des coûts et choix d’investissement : </w:t>
      </w:r>
      <w:r w:rsidRPr="00F8317D">
        <w:rPr>
          <w:sz w:val="32"/>
        </w:rPr>
        <w:t>méthode des couts complet</w:t>
      </w:r>
      <w:r>
        <w:rPr>
          <w:sz w:val="32"/>
        </w:rPr>
        <w:t xml:space="preserve">s, direct </w:t>
      </w:r>
      <w:proofErr w:type="spellStart"/>
      <w:r>
        <w:rPr>
          <w:sz w:val="32"/>
        </w:rPr>
        <w:t>costing</w:t>
      </w:r>
      <w:proofErr w:type="spellEnd"/>
      <w:r>
        <w:rPr>
          <w:sz w:val="32"/>
        </w:rPr>
        <w:t>, seuils de rentabilités, analyse multi critère</w:t>
      </w:r>
    </w:p>
    <w:p w14:paraId="51212444" w14:textId="77777777" w:rsidR="00F8317D" w:rsidRDefault="00F8317D" w:rsidP="00F8317D">
      <w:pPr>
        <w:rPr>
          <w:b/>
          <w:sz w:val="32"/>
        </w:rPr>
      </w:pPr>
    </w:p>
    <w:p w14:paraId="7F79128D" w14:textId="77777777" w:rsidR="00F8317D" w:rsidRDefault="00E4501D" w:rsidP="00F8317D">
      <w:pPr>
        <w:rPr>
          <w:b/>
          <w:sz w:val="32"/>
        </w:rPr>
      </w:pPr>
      <w:r>
        <w:rPr>
          <w:b/>
          <w:sz w:val="32"/>
        </w:rPr>
        <w:t>Economie </w:t>
      </w:r>
    </w:p>
    <w:p w14:paraId="62C9A0DC" w14:textId="77777777" w:rsidR="00D416D7" w:rsidRDefault="00D416D7" w:rsidP="00F8317D">
      <w:pPr>
        <w:rPr>
          <w:b/>
          <w:sz w:val="32"/>
        </w:rPr>
      </w:pPr>
    </w:p>
    <w:p w14:paraId="6C2CF8A7" w14:textId="77777777" w:rsidR="00D416D7" w:rsidRDefault="00D416D7" w:rsidP="00D416D7">
      <w:pPr>
        <w:rPr>
          <w:b/>
          <w:color w:val="F79646" w:themeColor="accent6"/>
          <w:sz w:val="32"/>
        </w:rPr>
      </w:pPr>
      <w:r>
        <w:rPr>
          <w:b/>
          <w:color w:val="F79646" w:themeColor="accent6"/>
          <w:sz w:val="32"/>
        </w:rPr>
        <w:t>PÔLE INGENIEURIE SYSTEME</w:t>
      </w:r>
    </w:p>
    <w:p w14:paraId="144C0B9E" w14:textId="77777777" w:rsidR="00D416D7" w:rsidRDefault="00D416D7" w:rsidP="00D416D7">
      <w:pPr>
        <w:rPr>
          <w:b/>
          <w:color w:val="F79646" w:themeColor="accent6"/>
          <w:sz w:val="32"/>
        </w:rPr>
      </w:pPr>
    </w:p>
    <w:p w14:paraId="44666412" w14:textId="77777777" w:rsidR="00D416D7" w:rsidRDefault="00D416D7" w:rsidP="00D416D7">
      <w:pPr>
        <w:rPr>
          <w:color w:val="F79646" w:themeColor="accent6"/>
          <w:sz w:val="32"/>
        </w:rPr>
      </w:pPr>
      <w:r>
        <w:rPr>
          <w:b/>
          <w:sz w:val="32"/>
        </w:rPr>
        <w:t xml:space="preserve">Modélisation fonctionnel : </w:t>
      </w:r>
      <w:r w:rsidRPr="00D416D7">
        <w:rPr>
          <w:sz w:val="28"/>
        </w:rPr>
        <w:t>SADT</w:t>
      </w:r>
      <w:r w:rsidRPr="00D416D7">
        <w:rPr>
          <w:color w:val="F79646" w:themeColor="accent6"/>
          <w:sz w:val="32"/>
        </w:rPr>
        <w:t xml:space="preserve"> </w:t>
      </w:r>
    </w:p>
    <w:p w14:paraId="2719DECE" w14:textId="77777777" w:rsidR="00D416D7" w:rsidRPr="00D416D7" w:rsidRDefault="00D416D7" w:rsidP="00D416D7">
      <w:pPr>
        <w:rPr>
          <w:b/>
          <w:sz w:val="32"/>
        </w:rPr>
      </w:pPr>
      <w:r>
        <w:rPr>
          <w:sz w:val="32"/>
        </w:rPr>
        <w:t xml:space="preserve">Systémique, </w:t>
      </w:r>
      <w:proofErr w:type="spellStart"/>
      <w:r>
        <w:rPr>
          <w:sz w:val="32"/>
        </w:rPr>
        <w:t>Graphcet</w:t>
      </w:r>
      <w:proofErr w:type="spellEnd"/>
      <w:r>
        <w:rPr>
          <w:sz w:val="32"/>
        </w:rPr>
        <w:t xml:space="preserve">, Réseaux de </w:t>
      </w:r>
      <w:proofErr w:type="spellStart"/>
      <w:r>
        <w:rPr>
          <w:sz w:val="32"/>
        </w:rPr>
        <w:t>Petri</w:t>
      </w:r>
      <w:proofErr w:type="spellEnd"/>
      <w:r>
        <w:rPr>
          <w:sz w:val="32"/>
        </w:rPr>
        <w:t xml:space="preserve">, Système SED, méthode </w:t>
      </w:r>
      <w:proofErr w:type="spellStart"/>
      <w:r>
        <w:rPr>
          <w:sz w:val="32"/>
        </w:rPr>
        <w:t>Huffmann</w:t>
      </w:r>
      <w:proofErr w:type="spellEnd"/>
      <w:r>
        <w:rPr>
          <w:sz w:val="32"/>
        </w:rPr>
        <w:t xml:space="preserve">, NIAM, </w:t>
      </w:r>
      <w:proofErr w:type="spellStart"/>
      <w:r>
        <w:rPr>
          <w:sz w:val="32"/>
        </w:rPr>
        <w:t>language</w:t>
      </w:r>
      <w:proofErr w:type="spellEnd"/>
      <w:r>
        <w:rPr>
          <w:sz w:val="32"/>
        </w:rPr>
        <w:t xml:space="preserve"> ULM</w:t>
      </w:r>
    </w:p>
    <w:p w14:paraId="26855DA1" w14:textId="77777777" w:rsidR="00394DCF" w:rsidRPr="00E4501D" w:rsidRDefault="00394DCF">
      <w:pPr>
        <w:rPr>
          <w:sz w:val="32"/>
          <w:szCs w:val="32"/>
        </w:rPr>
      </w:pPr>
    </w:p>
    <w:p w14:paraId="6565A654" w14:textId="77777777" w:rsidR="00394DCF" w:rsidRPr="00E4501D" w:rsidRDefault="00394DCF">
      <w:pPr>
        <w:rPr>
          <w:b/>
          <w:sz w:val="32"/>
          <w:szCs w:val="32"/>
        </w:rPr>
      </w:pPr>
      <w:r w:rsidRPr="00E4501D">
        <w:rPr>
          <w:b/>
          <w:sz w:val="32"/>
          <w:szCs w:val="32"/>
        </w:rPr>
        <w:t>ERP</w:t>
      </w:r>
      <w:r w:rsidR="00D416D7" w:rsidRPr="00E4501D">
        <w:rPr>
          <w:b/>
          <w:sz w:val="32"/>
          <w:szCs w:val="32"/>
        </w:rPr>
        <w:t xml:space="preserve"> SAGE</w:t>
      </w:r>
      <w:r w:rsidRPr="00E4501D">
        <w:rPr>
          <w:b/>
          <w:sz w:val="32"/>
          <w:szCs w:val="32"/>
        </w:rPr>
        <w:t xml:space="preserve"> : </w:t>
      </w:r>
    </w:p>
    <w:p w14:paraId="07AAD13E" w14:textId="77777777" w:rsidR="00394DCF" w:rsidRPr="00E4501D" w:rsidRDefault="00394DCF">
      <w:pPr>
        <w:rPr>
          <w:sz w:val="32"/>
          <w:szCs w:val="32"/>
        </w:rPr>
      </w:pPr>
    </w:p>
    <w:p w14:paraId="3F29DA24" w14:textId="77777777" w:rsidR="00394DCF" w:rsidRPr="00E4501D" w:rsidRDefault="00394DCF">
      <w:pPr>
        <w:rPr>
          <w:sz w:val="32"/>
          <w:szCs w:val="32"/>
        </w:rPr>
      </w:pPr>
      <w:r w:rsidRPr="00E4501D">
        <w:rPr>
          <w:b/>
          <w:sz w:val="32"/>
          <w:szCs w:val="32"/>
        </w:rPr>
        <w:t>MEGA :</w:t>
      </w:r>
      <w:r w:rsidRPr="00E4501D">
        <w:rPr>
          <w:sz w:val="32"/>
          <w:szCs w:val="32"/>
        </w:rPr>
        <w:t xml:space="preserve"> Architecture du système d’information.</w:t>
      </w:r>
    </w:p>
    <w:p w14:paraId="43A26DC5" w14:textId="77777777" w:rsidR="00394DCF" w:rsidRPr="00E4501D" w:rsidRDefault="00394DCF">
      <w:pPr>
        <w:rPr>
          <w:rFonts w:cs="Arial"/>
          <w:color w:val="161616"/>
          <w:sz w:val="32"/>
          <w:szCs w:val="32"/>
        </w:rPr>
      </w:pPr>
      <w:r w:rsidRPr="00E4501D">
        <w:rPr>
          <w:rFonts w:cs="Arial"/>
          <w:bCs/>
          <w:color w:val="161616"/>
          <w:sz w:val="32"/>
          <w:szCs w:val="32"/>
        </w:rPr>
        <w:t>La solution d’architecture du système d’information de MEGA</w:t>
      </w:r>
      <w:r w:rsidRPr="00E4501D">
        <w:rPr>
          <w:rFonts w:cs="Arial"/>
          <w:color w:val="161616"/>
          <w:sz w:val="32"/>
          <w:szCs w:val="32"/>
        </w:rPr>
        <w:t xml:space="preserve"> couvre l’ensemble du </w:t>
      </w:r>
      <w:r w:rsidRPr="00E4501D">
        <w:rPr>
          <w:rFonts w:cs="Arial"/>
          <w:bCs/>
          <w:color w:val="161616"/>
          <w:sz w:val="32"/>
          <w:szCs w:val="32"/>
        </w:rPr>
        <w:t>processus d’optimisation et de rationalisation du système d’information</w:t>
      </w:r>
      <w:r w:rsidRPr="00E4501D">
        <w:rPr>
          <w:rFonts w:cs="Arial"/>
          <w:color w:val="161616"/>
          <w:sz w:val="32"/>
          <w:szCs w:val="32"/>
        </w:rPr>
        <w:t xml:space="preserve"> en fonction du profil de l’utilisateur.</w:t>
      </w:r>
      <w:bookmarkStart w:id="0" w:name="_GoBack"/>
      <w:bookmarkEnd w:id="0"/>
    </w:p>
    <w:p w14:paraId="4959FE79" w14:textId="77777777" w:rsidR="00A41ACD" w:rsidRDefault="00A41ACD">
      <w:pPr>
        <w:rPr>
          <w:rFonts w:cs="Arial"/>
          <w:color w:val="161616"/>
        </w:rPr>
      </w:pPr>
    </w:p>
    <w:p w14:paraId="1C8454FB" w14:textId="77777777" w:rsidR="00394DCF" w:rsidRDefault="00394DCF">
      <w:pPr>
        <w:rPr>
          <w:rFonts w:cs="Arial"/>
          <w:color w:val="161616"/>
        </w:rPr>
      </w:pPr>
    </w:p>
    <w:p w14:paraId="1BBCDFAD" w14:textId="77777777" w:rsidR="00D416D7" w:rsidRDefault="00D416D7" w:rsidP="00D416D7">
      <w:pPr>
        <w:rPr>
          <w:b/>
          <w:color w:val="F79646" w:themeColor="accent6"/>
          <w:sz w:val="32"/>
        </w:rPr>
      </w:pPr>
      <w:r>
        <w:rPr>
          <w:b/>
          <w:color w:val="F79646" w:themeColor="accent6"/>
          <w:sz w:val="32"/>
        </w:rPr>
        <w:t>PÔLE MANAGEMENT</w:t>
      </w:r>
    </w:p>
    <w:p w14:paraId="37DDB60E" w14:textId="77777777" w:rsidR="00D416D7" w:rsidRPr="00D416D7" w:rsidRDefault="00D416D7" w:rsidP="00D416D7">
      <w:pPr>
        <w:rPr>
          <w:b/>
          <w:sz w:val="32"/>
        </w:rPr>
      </w:pPr>
      <w:r w:rsidRPr="00D416D7">
        <w:rPr>
          <w:b/>
          <w:sz w:val="32"/>
        </w:rPr>
        <w:t>CNV</w:t>
      </w:r>
    </w:p>
    <w:p w14:paraId="4F9E187E" w14:textId="77777777" w:rsidR="00D416D7" w:rsidRPr="00D416D7" w:rsidRDefault="00D416D7" w:rsidP="00D416D7">
      <w:pPr>
        <w:widowControl w:val="0"/>
        <w:autoSpaceDE w:val="0"/>
        <w:autoSpaceDN w:val="0"/>
        <w:adjustRightInd w:val="0"/>
        <w:rPr>
          <w:rFonts w:cs="Times New Roman"/>
          <w:sz w:val="32"/>
        </w:rPr>
      </w:pPr>
      <w:r w:rsidRPr="00D416D7">
        <w:rPr>
          <w:b/>
          <w:sz w:val="32"/>
        </w:rPr>
        <w:t xml:space="preserve">APS : </w:t>
      </w:r>
      <w:r w:rsidRPr="00D416D7">
        <w:rPr>
          <w:rFonts w:cs="Times New Roman"/>
          <w:sz w:val="32"/>
        </w:rPr>
        <w:t>Direction, Délégation, Organisation,</w:t>
      </w:r>
    </w:p>
    <w:p w14:paraId="7F1E78B4" w14:textId="77777777" w:rsidR="00394DCF" w:rsidRDefault="00D416D7" w:rsidP="00403A51">
      <w:pPr>
        <w:widowControl w:val="0"/>
        <w:autoSpaceDE w:val="0"/>
        <w:autoSpaceDN w:val="0"/>
        <w:adjustRightInd w:val="0"/>
        <w:rPr>
          <w:rFonts w:cs="Times New Roman"/>
          <w:sz w:val="32"/>
        </w:rPr>
      </w:pPr>
      <w:r w:rsidRPr="00D416D7">
        <w:rPr>
          <w:rFonts w:cs="Times New Roman"/>
          <w:sz w:val="32"/>
        </w:rPr>
        <w:t>Contrôle, Communication, Esprit d’</w:t>
      </w:r>
      <w:r w:rsidR="00403A51">
        <w:rPr>
          <w:rFonts w:cs="Times New Roman"/>
          <w:sz w:val="32"/>
        </w:rPr>
        <w:t xml:space="preserve">Analyse et de Synthèse, Travail </w:t>
      </w:r>
      <w:r w:rsidRPr="00D416D7">
        <w:rPr>
          <w:rFonts w:cs="Times New Roman"/>
          <w:sz w:val="32"/>
        </w:rPr>
        <w:t>en</w:t>
      </w:r>
      <w:r w:rsidR="00403A51">
        <w:rPr>
          <w:rFonts w:cs="Times New Roman"/>
          <w:sz w:val="32"/>
        </w:rPr>
        <w:t xml:space="preserve"> </w:t>
      </w:r>
      <w:r w:rsidRPr="00D416D7">
        <w:rPr>
          <w:rFonts w:cs="Times New Roman"/>
          <w:sz w:val="32"/>
        </w:rPr>
        <w:t>Equipe, Leadership</w:t>
      </w:r>
      <w:r w:rsidR="00403A51">
        <w:rPr>
          <w:rFonts w:cs="Times New Roman"/>
          <w:sz w:val="32"/>
        </w:rPr>
        <w:t xml:space="preserve"> = Technique d’évaluation</w:t>
      </w:r>
    </w:p>
    <w:p w14:paraId="4F0996EA" w14:textId="77777777" w:rsidR="00D416D7" w:rsidRDefault="00D416D7" w:rsidP="00D416D7">
      <w:pPr>
        <w:rPr>
          <w:rFonts w:cs="Times New Roman"/>
          <w:b/>
          <w:sz w:val="32"/>
        </w:rPr>
      </w:pPr>
      <w:r>
        <w:rPr>
          <w:rFonts w:cs="Times New Roman"/>
          <w:b/>
          <w:sz w:val="32"/>
        </w:rPr>
        <w:t>MBTI</w:t>
      </w:r>
    </w:p>
    <w:p w14:paraId="3DEF5CDC" w14:textId="77777777" w:rsidR="00403A51" w:rsidRDefault="00403A51" w:rsidP="00D416D7">
      <w:pPr>
        <w:rPr>
          <w:rFonts w:cs="Times New Roman"/>
          <w:b/>
          <w:sz w:val="32"/>
        </w:rPr>
      </w:pPr>
      <w:r>
        <w:rPr>
          <w:rFonts w:cs="Times New Roman"/>
          <w:b/>
          <w:sz w:val="32"/>
        </w:rPr>
        <w:t>Management et prise décision</w:t>
      </w:r>
    </w:p>
    <w:p w14:paraId="22CA3333" w14:textId="77777777" w:rsidR="00403A51" w:rsidRDefault="00403A51" w:rsidP="00D416D7">
      <w:pPr>
        <w:rPr>
          <w:rFonts w:cs="Times New Roman"/>
          <w:b/>
          <w:sz w:val="32"/>
        </w:rPr>
      </w:pPr>
    </w:p>
    <w:p w14:paraId="421AE5BF" w14:textId="77777777" w:rsidR="00403A51" w:rsidRDefault="00403A51" w:rsidP="00403A51">
      <w:pPr>
        <w:rPr>
          <w:b/>
          <w:color w:val="F79646" w:themeColor="accent6"/>
          <w:sz w:val="32"/>
        </w:rPr>
      </w:pPr>
      <w:r>
        <w:rPr>
          <w:b/>
          <w:color w:val="F79646" w:themeColor="accent6"/>
          <w:sz w:val="32"/>
        </w:rPr>
        <w:t>PÔLE GENIE INDUTRIEL</w:t>
      </w:r>
    </w:p>
    <w:p w14:paraId="1CECAF66" w14:textId="77777777" w:rsidR="00403A51" w:rsidRDefault="00403A51" w:rsidP="00403A51">
      <w:pPr>
        <w:rPr>
          <w:b/>
          <w:sz w:val="32"/>
        </w:rPr>
      </w:pPr>
    </w:p>
    <w:p w14:paraId="3F119BD2" w14:textId="77777777" w:rsidR="00403A51" w:rsidRDefault="00403A51" w:rsidP="00403A51">
      <w:pPr>
        <w:rPr>
          <w:b/>
          <w:sz w:val="32"/>
        </w:rPr>
      </w:pPr>
      <w:r>
        <w:rPr>
          <w:b/>
          <w:sz w:val="32"/>
        </w:rPr>
        <w:t>Gestion de projet</w:t>
      </w:r>
    </w:p>
    <w:p w14:paraId="219390DF" w14:textId="77777777" w:rsidR="00403A51" w:rsidRDefault="00403A51" w:rsidP="00403A51">
      <w:pPr>
        <w:rPr>
          <w:sz w:val="32"/>
        </w:rPr>
      </w:pPr>
      <w:r>
        <w:rPr>
          <w:sz w:val="32"/>
        </w:rPr>
        <w:t>PERT, GANT, SCRUM</w:t>
      </w:r>
    </w:p>
    <w:p w14:paraId="35297CBA" w14:textId="77777777" w:rsidR="00403A51" w:rsidRDefault="00403A51" w:rsidP="00403A51">
      <w:pPr>
        <w:rPr>
          <w:sz w:val="32"/>
        </w:rPr>
      </w:pPr>
    </w:p>
    <w:p w14:paraId="13A2AA83" w14:textId="77777777" w:rsidR="00403A51" w:rsidRDefault="00403A51" w:rsidP="00403A51">
      <w:pPr>
        <w:rPr>
          <w:sz w:val="32"/>
        </w:rPr>
      </w:pPr>
      <w:r w:rsidRPr="00403A51">
        <w:rPr>
          <w:b/>
          <w:sz w:val="32"/>
        </w:rPr>
        <w:t>Logistique :</w:t>
      </w:r>
      <w:r>
        <w:rPr>
          <w:sz w:val="32"/>
        </w:rPr>
        <w:t xml:space="preserve"> MRP, SCM, KANBAN, SMED, démarche LEAN, </w:t>
      </w:r>
    </w:p>
    <w:p w14:paraId="62742D3E" w14:textId="77777777" w:rsidR="00403A51" w:rsidRPr="00403A51" w:rsidRDefault="00403A51" w:rsidP="00403A51">
      <w:pPr>
        <w:widowControl w:val="0"/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403A51">
        <w:rPr>
          <w:rFonts w:cs="Times New Roman"/>
          <w:sz w:val="32"/>
          <w:szCs w:val="32"/>
        </w:rPr>
        <w:t>Le module aboutit à la certification au mana</w:t>
      </w:r>
      <w:r>
        <w:rPr>
          <w:rFonts w:cs="Times New Roman"/>
          <w:sz w:val="32"/>
          <w:szCs w:val="32"/>
        </w:rPr>
        <w:t xml:space="preserve">gement par la valeur suivant le </w:t>
      </w:r>
      <w:r w:rsidRPr="00403A51">
        <w:rPr>
          <w:rFonts w:cs="Times New Roman"/>
          <w:sz w:val="32"/>
          <w:szCs w:val="32"/>
        </w:rPr>
        <w:t>modèle européen de l’EGB (</w:t>
      </w:r>
      <w:proofErr w:type="spellStart"/>
      <w:r w:rsidRPr="00403A51">
        <w:rPr>
          <w:rFonts w:cs="Times New Roman"/>
          <w:sz w:val="32"/>
          <w:szCs w:val="32"/>
        </w:rPr>
        <w:t>European</w:t>
      </w:r>
      <w:proofErr w:type="spellEnd"/>
      <w:r w:rsidRPr="00403A51">
        <w:rPr>
          <w:rFonts w:cs="Times New Roman"/>
          <w:sz w:val="32"/>
          <w:szCs w:val="32"/>
        </w:rPr>
        <w:t xml:space="preserve"> </w:t>
      </w:r>
      <w:proofErr w:type="spellStart"/>
      <w:r w:rsidRPr="00403A51">
        <w:rPr>
          <w:rFonts w:cs="Times New Roman"/>
          <w:sz w:val="32"/>
          <w:szCs w:val="32"/>
        </w:rPr>
        <w:t>Governing</w:t>
      </w:r>
      <w:proofErr w:type="spellEnd"/>
      <w:r w:rsidRPr="00403A51">
        <w:rPr>
          <w:rFonts w:cs="Times New Roman"/>
          <w:sz w:val="32"/>
          <w:szCs w:val="32"/>
        </w:rPr>
        <w:t xml:space="preserve"> </w:t>
      </w:r>
      <w:proofErr w:type="spellStart"/>
      <w:r w:rsidRPr="00403A51">
        <w:rPr>
          <w:rFonts w:cs="Times New Roman"/>
          <w:sz w:val="32"/>
          <w:szCs w:val="32"/>
        </w:rPr>
        <w:t>Board</w:t>
      </w:r>
      <w:proofErr w:type="spellEnd"/>
      <w:r w:rsidRPr="00403A51">
        <w:rPr>
          <w:rFonts w:cs="Times New Roman"/>
          <w:sz w:val="32"/>
          <w:szCs w:val="32"/>
        </w:rPr>
        <w:t>).</w:t>
      </w:r>
    </w:p>
    <w:p w14:paraId="1DF89292" w14:textId="77777777" w:rsidR="00403A51" w:rsidRDefault="00403A51" w:rsidP="00D416D7">
      <w:pPr>
        <w:rPr>
          <w:b/>
          <w:sz w:val="32"/>
        </w:rPr>
      </w:pPr>
    </w:p>
    <w:p w14:paraId="641BA5DB" w14:textId="77777777" w:rsidR="00403A51" w:rsidRDefault="00403A51" w:rsidP="00D416D7">
      <w:pPr>
        <w:rPr>
          <w:b/>
          <w:sz w:val="32"/>
        </w:rPr>
      </w:pPr>
      <w:r>
        <w:rPr>
          <w:b/>
          <w:sz w:val="32"/>
        </w:rPr>
        <w:t>Estimation des coûts :</w:t>
      </w:r>
    </w:p>
    <w:p w14:paraId="13B6B2F4" w14:textId="77777777" w:rsidR="00403A51" w:rsidRDefault="00403A51" w:rsidP="00D416D7">
      <w:pPr>
        <w:rPr>
          <w:sz w:val="32"/>
        </w:rPr>
      </w:pPr>
      <w:r>
        <w:rPr>
          <w:sz w:val="32"/>
        </w:rPr>
        <w:t>méthode analytique ABC, FEC</w:t>
      </w:r>
    </w:p>
    <w:p w14:paraId="62FBFFCC" w14:textId="77777777" w:rsidR="00403A51" w:rsidRDefault="00403A51" w:rsidP="00D416D7">
      <w:pPr>
        <w:rPr>
          <w:sz w:val="32"/>
        </w:rPr>
      </w:pPr>
    </w:p>
    <w:p w14:paraId="7891280C" w14:textId="77777777" w:rsidR="00403A51" w:rsidRDefault="00403A51" w:rsidP="00D416D7">
      <w:pPr>
        <w:rPr>
          <w:sz w:val="32"/>
        </w:rPr>
      </w:pPr>
      <w:r w:rsidRPr="00403A51">
        <w:rPr>
          <w:b/>
          <w:sz w:val="32"/>
        </w:rPr>
        <w:t xml:space="preserve">Qualité : </w:t>
      </w:r>
      <w:r>
        <w:rPr>
          <w:sz w:val="32"/>
        </w:rPr>
        <w:t>ISO, SEVESO</w:t>
      </w:r>
    </w:p>
    <w:p w14:paraId="73BA469F" w14:textId="77777777" w:rsidR="00403A51" w:rsidRPr="00403A51" w:rsidRDefault="00403A51" w:rsidP="00D416D7">
      <w:pPr>
        <w:rPr>
          <w:sz w:val="32"/>
        </w:rPr>
      </w:pPr>
      <w:r w:rsidRPr="00403A51">
        <w:rPr>
          <w:b/>
          <w:sz w:val="32"/>
        </w:rPr>
        <w:t xml:space="preserve">Risques : </w:t>
      </w:r>
      <w:r>
        <w:rPr>
          <w:sz w:val="32"/>
        </w:rPr>
        <w:t xml:space="preserve">HAZOP, MOSAR, AMDE(C), audit, </w:t>
      </w:r>
    </w:p>
    <w:sectPr w:rsidR="00403A51" w:rsidRPr="00403A51" w:rsidSect="00B66DE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DCF"/>
    <w:rsid w:val="00394DCF"/>
    <w:rsid w:val="00403A51"/>
    <w:rsid w:val="004C7535"/>
    <w:rsid w:val="00A41ACD"/>
    <w:rsid w:val="00B66DE4"/>
    <w:rsid w:val="00D416D7"/>
    <w:rsid w:val="00E4501D"/>
    <w:rsid w:val="00F45D47"/>
    <w:rsid w:val="00F83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BD932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301</Words>
  <Characters>1658</Characters>
  <Application>Microsoft Macintosh Word</Application>
  <DocSecurity>0</DocSecurity>
  <Lines>13</Lines>
  <Paragraphs>3</Paragraphs>
  <ScaleCrop>false</ScaleCrop>
  <Company>ENSGSI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Clémence FISCHER</dc:creator>
  <cp:keywords/>
  <dc:description/>
  <cp:lastModifiedBy>Clémence FISCHER</cp:lastModifiedBy>
  <cp:revision>2</cp:revision>
  <dcterms:created xsi:type="dcterms:W3CDTF">2013-11-26T12:25:00Z</dcterms:created>
  <dcterms:modified xsi:type="dcterms:W3CDTF">2013-12-02T08:39:00Z</dcterms:modified>
</cp:coreProperties>
</file>